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F3B" w:rsidRPr="00D14F3B" w:rsidRDefault="00D14F3B" w:rsidP="00D14F3B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:rsidR="00D14F3B" w:rsidRDefault="00D14F3B" w:rsidP="00D14F3B">
      <w:pPr>
        <w:pStyle w:val="Default"/>
        <w:rPr>
          <w:b/>
          <w:bCs/>
          <w:sz w:val="36"/>
          <w:szCs w:val="36"/>
        </w:rPr>
      </w:pPr>
      <w:r w:rsidRPr="00D14F3B">
        <w:t xml:space="preserve"> </w:t>
      </w:r>
      <w:r w:rsidRPr="00D14F3B">
        <w:rPr>
          <w:b/>
          <w:bCs/>
          <w:sz w:val="36"/>
          <w:szCs w:val="36"/>
        </w:rPr>
        <w:t xml:space="preserve">The </w:t>
      </w:r>
      <w:proofErr w:type="spellStart"/>
      <w:r w:rsidRPr="00D14F3B">
        <w:rPr>
          <w:b/>
          <w:bCs/>
          <w:sz w:val="36"/>
          <w:szCs w:val="36"/>
        </w:rPr>
        <w:t>Ampacet</w:t>
      </w:r>
      <w:proofErr w:type="spellEnd"/>
      <w:r w:rsidRPr="00D14F3B">
        <w:rPr>
          <w:b/>
          <w:bCs/>
          <w:sz w:val="36"/>
          <w:szCs w:val="36"/>
        </w:rPr>
        <w:t xml:space="preserve"> Global Regulatory group can simplify the complexity of global regulations and provide service and clarity to our customers</w:t>
      </w:r>
    </w:p>
    <w:p w:rsidR="00D14F3B" w:rsidRDefault="00D14F3B" w:rsidP="00D14F3B">
      <w:pPr>
        <w:pStyle w:val="Default"/>
        <w:rPr>
          <w:b/>
          <w:bCs/>
          <w:sz w:val="36"/>
          <w:szCs w:val="36"/>
        </w:rPr>
      </w:pPr>
    </w:p>
    <w:p w:rsidR="00D14F3B" w:rsidRDefault="00D14F3B" w:rsidP="00D14F3B">
      <w:pPr>
        <w:pStyle w:val="Default"/>
        <w:rPr>
          <w:color w:val="812C7A"/>
          <w:sz w:val="28"/>
          <w:szCs w:val="28"/>
        </w:rPr>
      </w:pPr>
      <w:bookmarkStart w:id="0" w:name="_GoBack"/>
      <w:r>
        <w:rPr>
          <w:b/>
          <w:bCs/>
          <w:color w:val="812C7A"/>
          <w:sz w:val="28"/>
          <w:szCs w:val="28"/>
        </w:rPr>
        <w:t xml:space="preserve">Summary </w:t>
      </w:r>
    </w:p>
    <w:p w:rsidR="00D14F3B" w:rsidRDefault="00D14F3B" w:rsidP="00D14F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Regulatory requirements are continually growing and ever increasing. The field is cumulative in nature. New legislations emerge, concerns are raised </w:t>
      </w:r>
      <w:proofErr w:type="gramStart"/>
      <w:r>
        <w:rPr>
          <w:sz w:val="22"/>
          <w:szCs w:val="22"/>
        </w:rPr>
        <w:t>regularly</w:t>
      </w:r>
      <w:proofErr w:type="gramEnd"/>
      <w:r>
        <w:rPr>
          <w:sz w:val="22"/>
          <w:szCs w:val="22"/>
        </w:rPr>
        <w:t xml:space="preserve"> and existing issues are almost never obsolete. </w:t>
      </w:r>
      <w:proofErr w:type="spellStart"/>
      <w:r>
        <w:rPr>
          <w:sz w:val="22"/>
          <w:szCs w:val="22"/>
        </w:rPr>
        <w:t>Ampacet</w:t>
      </w:r>
      <w:proofErr w:type="spellEnd"/>
      <w:r>
        <w:rPr>
          <w:sz w:val="22"/>
          <w:szCs w:val="22"/>
        </w:rPr>
        <w:t xml:space="preserve"> relies on an internal “Regulatory Watch” globally to monitor new legislations, changes, and upcoming concerns. </w:t>
      </w:r>
    </w:p>
    <w:p w:rsidR="002B2C6A" w:rsidRDefault="002B2C6A" w:rsidP="00D14F3B">
      <w:pPr>
        <w:pStyle w:val="Default"/>
        <w:rPr>
          <w:sz w:val="22"/>
          <w:szCs w:val="22"/>
        </w:rPr>
      </w:pPr>
    </w:p>
    <w:p w:rsidR="00D14F3B" w:rsidRDefault="00D14F3B" w:rsidP="00D14F3B">
      <w:pPr>
        <w:pStyle w:val="Default"/>
        <w:numPr>
          <w:ilvl w:val="0"/>
          <w:numId w:val="2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Professional memberships </w:t>
      </w:r>
    </w:p>
    <w:p w:rsidR="002B2C6A" w:rsidRDefault="002B2C6A" w:rsidP="002B2C6A">
      <w:pPr>
        <w:pStyle w:val="Default"/>
        <w:numPr>
          <w:ilvl w:val="0"/>
          <w:numId w:val="2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Official information channels</w:t>
      </w:r>
    </w:p>
    <w:p w:rsidR="002B2C6A" w:rsidRDefault="002B2C6A" w:rsidP="002B2C6A">
      <w:pPr>
        <w:pStyle w:val="Default"/>
        <w:numPr>
          <w:ilvl w:val="0"/>
          <w:numId w:val="2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Conferences</w:t>
      </w:r>
    </w:p>
    <w:p w:rsidR="002B2C6A" w:rsidRDefault="002B2C6A" w:rsidP="002B2C6A">
      <w:pPr>
        <w:pStyle w:val="Default"/>
        <w:numPr>
          <w:ilvl w:val="0"/>
          <w:numId w:val="2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Subscriptions and Newsletters</w:t>
      </w:r>
    </w:p>
    <w:p w:rsidR="002B2C6A" w:rsidRDefault="002B2C6A" w:rsidP="002B2C6A">
      <w:pPr>
        <w:pStyle w:val="Default"/>
        <w:numPr>
          <w:ilvl w:val="0"/>
          <w:numId w:val="2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Stakeholders’ feedback</w:t>
      </w:r>
    </w:p>
    <w:p w:rsidR="002B2C6A" w:rsidRDefault="002B2C6A" w:rsidP="002B2C6A">
      <w:pPr>
        <w:pStyle w:val="Default"/>
        <w:numPr>
          <w:ilvl w:val="0"/>
          <w:numId w:val="2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Third party information software</w:t>
      </w:r>
    </w:p>
    <w:p w:rsidR="002B2C6A" w:rsidRDefault="002B2C6A" w:rsidP="002B2C6A">
      <w:pPr>
        <w:pStyle w:val="Default"/>
        <w:numPr>
          <w:ilvl w:val="0"/>
          <w:numId w:val="2"/>
        </w:numPr>
        <w:spacing w:after="27"/>
        <w:rPr>
          <w:sz w:val="22"/>
          <w:szCs w:val="22"/>
        </w:rPr>
      </w:pPr>
    </w:p>
    <w:p w:rsidR="00D14F3B" w:rsidRPr="002B2C6A" w:rsidRDefault="00D14F3B" w:rsidP="002B2C6A">
      <w:pPr>
        <w:pStyle w:val="Default"/>
        <w:spacing w:after="27"/>
        <w:rPr>
          <w:sz w:val="22"/>
          <w:szCs w:val="22"/>
        </w:rPr>
      </w:pPr>
      <w:r w:rsidRPr="002B2C6A">
        <w:rPr>
          <w:b/>
          <w:bCs/>
          <w:color w:val="812C7A"/>
          <w:sz w:val="28"/>
          <w:szCs w:val="28"/>
        </w:rPr>
        <w:t xml:space="preserve">Safety and Environmental Responsibilities </w:t>
      </w:r>
    </w:p>
    <w:p w:rsidR="002B2C6A" w:rsidRPr="002B2C6A" w:rsidRDefault="00D14F3B" w:rsidP="002B2C6A">
      <w:pPr>
        <w:pStyle w:val="Default"/>
        <w:numPr>
          <w:ilvl w:val="4"/>
          <w:numId w:val="1"/>
        </w:numPr>
        <w:jc w:val="both"/>
        <w:rPr>
          <w:rFonts w:ascii="Gill Sans MT" w:hAnsi="Gill Sans MT"/>
        </w:rPr>
      </w:pPr>
      <w:r>
        <w:rPr>
          <w:color w:val="812C7A"/>
          <w:sz w:val="22"/>
          <w:szCs w:val="22"/>
        </w:rPr>
        <w:t>•</w:t>
      </w:r>
      <w:r w:rsidR="002B2C6A">
        <w:rPr>
          <w:color w:val="812C7A"/>
          <w:sz w:val="22"/>
          <w:szCs w:val="22"/>
        </w:rPr>
        <w:t xml:space="preserve"> </w:t>
      </w:r>
      <w:r w:rsidR="002B2C6A">
        <w:rPr>
          <w:color w:val="812C7A"/>
          <w:sz w:val="22"/>
          <w:szCs w:val="22"/>
        </w:rPr>
        <w:tab/>
      </w:r>
      <w:r w:rsidRPr="002B2C6A">
        <w:rPr>
          <w:rFonts w:ascii="Gill Sans MT" w:hAnsi="Gill Sans MT"/>
        </w:rPr>
        <w:t xml:space="preserve">Safety Data Sheets (SDS) in line with the latest versions of </w:t>
      </w:r>
      <w:r w:rsidR="002B2C6A">
        <w:rPr>
          <w:rFonts w:ascii="Gill Sans MT" w:hAnsi="Gill Sans MT"/>
        </w:rPr>
        <w:t xml:space="preserve">international standards such as </w:t>
      </w:r>
      <w:r w:rsidRPr="002B2C6A">
        <w:rPr>
          <w:rFonts w:ascii="Gill Sans MT" w:hAnsi="Gill Sans MT"/>
        </w:rPr>
        <w:t xml:space="preserve">Global </w:t>
      </w:r>
      <w:r w:rsidR="002B2C6A" w:rsidRPr="002B2C6A">
        <w:rPr>
          <w:rFonts w:ascii="Gill Sans MT" w:hAnsi="Gill Sans MT"/>
        </w:rPr>
        <w:t>Ha</w:t>
      </w:r>
      <w:r w:rsidRPr="002B2C6A">
        <w:rPr>
          <w:rFonts w:ascii="Gill Sans MT" w:hAnsi="Gill Sans MT"/>
        </w:rPr>
        <w:t xml:space="preserve">rmonized System (GHS). </w:t>
      </w:r>
    </w:p>
    <w:p w:rsidR="00D14F3B" w:rsidRPr="002B2C6A" w:rsidRDefault="00D14F3B" w:rsidP="002B2C6A">
      <w:pPr>
        <w:pStyle w:val="Default"/>
        <w:numPr>
          <w:ilvl w:val="1"/>
          <w:numId w:val="1"/>
        </w:numPr>
        <w:ind w:right="870"/>
        <w:jc w:val="both"/>
        <w:rPr>
          <w:rFonts w:ascii="Gill Sans MT" w:hAnsi="Gill Sans MT"/>
        </w:rPr>
      </w:pPr>
      <w:r w:rsidRPr="002B2C6A">
        <w:rPr>
          <w:rFonts w:ascii="Gill Sans MT" w:hAnsi="Gill Sans MT"/>
        </w:rPr>
        <w:t xml:space="preserve">Available in various languages. </w:t>
      </w:r>
    </w:p>
    <w:p w:rsidR="00D14F3B" w:rsidRPr="002B2C6A" w:rsidRDefault="00D14F3B" w:rsidP="002B2C6A">
      <w:pPr>
        <w:pStyle w:val="Default"/>
        <w:numPr>
          <w:ilvl w:val="1"/>
          <w:numId w:val="1"/>
        </w:numPr>
        <w:jc w:val="both"/>
        <w:rPr>
          <w:rFonts w:ascii="Gill Sans MT" w:hAnsi="Gill Sans MT"/>
        </w:rPr>
      </w:pPr>
      <w:r w:rsidRPr="002B2C6A">
        <w:rPr>
          <w:rFonts w:ascii="Gill Sans MT" w:hAnsi="Gill Sans MT"/>
        </w:rPr>
        <w:t xml:space="preserve">Hazardous Warning Labels </w:t>
      </w:r>
    </w:p>
    <w:p w:rsidR="002B2C6A" w:rsidRPr="002B2C6A" w:rsidRDefault="00D14F3B" w:rsidP="002B2C6A">
      <w:pPr>
        <w:pStyle w:val="Default"/>
        <w:numPr>
          <w:ilvl w:val="1"/>
          <w:numId w:val="1"/>
        </w:numPr>
        <w:spacing w:after="22"/>
        <w:jc w:val="both"/>
        <w:rPr>
          <w:rFonts w:ascii="Gill Sans MT" w:hAnsi="Gill Sans MT" w:cs="Courier New"/>
          <w:color w:val="812C7A"/>
        </w:rPr>
      </w:pPr>
      <w:r w:rsidRPr="002B2C6A">
        <w:rPr>
          <w:rFonts w:ascii="Gill Sans MT" w:hAnsi="Gill Sans MT"/>
        </w:rPr>
        <w:t xml:space="preserve">Environmental Regulations Statements/Conformity such as: </w:t>
      </w:r>
    </w:p>
    <w:p w:rsidR="00D14F3B" w:rsidRPr="002B2C6A" w:rsidRDefault="00D14F3B" w:rsidP="002B2C6A">
      <w:pPr>
        <w:pStyle w:val="Default"/>
        <w:spacing w:after="22"/>
        <w:ind w:firstLine="720"/>
        <w:jc w:val="both"/>
        <w:rPr>
          <w:rFonts w:ascii="Gill Sans MT" w:hAnsi="Gill Sans MT" w:cs="Courier New"/>
          <w:color w:val="812C7A"/>
        </w:rPr>
      </w:pPr>
      <w:r w:rsidRPr="002B2C6A">
        <w:rPr>
          <w:rFonts w:ascii="Gill Sans MT" w:hAnsi="Gill Sans MT" w:cs="Courier New"/>
          <w:color w:val="812C7A"/>
        </w:rPr>
        <w:t xml:space="preserve">o CEPA </w:t>
      </w:r>
    </w:p>
    <w:p w:rsidR="00D14F3B" w:rsidRPr="002B2C6A" w:rsidRDefault="00D14F3B" w:rsidP="002B2C6A">
      <w:pPr>
        <w:pStyle w:val="Default"/>
        <w:spacing w:after="22"/>
        <w:ind w:firstLine="720"/>
        <w:jc w:val="both"/>
        <w:rPr>
          <w:rFonts w:ascii="Gill Sans MT" w:hAnsi="Gill Sans MT"/>
        </w:rPr>
      </w:pPr>
      <w:r w:rsidRPr="002B2C6A">
        <w:rPr>
          <w:rFonts w:ascii="Gill Sans MT" w:hAnsi="Gill Sans MT" w:cs="Courier New"/>
          <w:color w:val="812C7A"/>
        </w:rPr>
        <w:t xml:space="preserve">o </w:t>
      </w:r>
      <w:r w:rsidRPr="002B2C6A">
        <w:rPr>
          <w:rFonts w:ascii="Gill Sans MT" w:hAnsi="Gill Sans MT"/>
        </w:rPr>
        <w:t xml:space="preserve">California Proposition 65 </w:t>
      </w:r>
    </w:p>
    <w:p w:rsidR="00D14F3B" w:rsidRPr="002B2C6A" w:rsidRDefault="00D14F3B" w:rsidP="002B2C6A">
      <w:pPr>
        <w:pStyle w:val="Default"/>
        <w:ind w:firstLine="720"/>
        <w:jc w:val="both"/>
        <w:rPr>
          <w:rFonts w:ascii="Gill Sans MT" w:hAnsi="Gill Sans MT"/>
        </w:rPr>
      </w:pPr>
      <w:r w:rsidRPr="002B2C6A">
        <w:rPr>
          <w:rFonts w:ascii="Gill Sans MT" w:hAnsi="Gill Sans MT" w:cs="Courier New"/>
          <w:color w:val="812C7A"/>
        </w:rPr>
        <w:t xml:space="preserve">o </w:t>
      </w:r>
      <w:r w:rsidRPr="002B2C6A">
        <w:rPr>
          <w:rFonts w:ascii="Gill Sans MT" w:hAnsi="Gill Sans MT"/>
        </w:rPr>
        <w:t xml:space="preserve">Sara Title III </w:t>
      </w:r>
    </w:p>
    <w:p w:rsidR="002B2C6A" w:rsidRPr="002B2C6A" w:rsidRDefault="002B2C6A" w:rsidP="002B2C6A">
      <w:pPr>
        <w:pStyle w:val="Default"/>
        <w:numPr>
          <w:ilvl w:val="1"/>
          <w:numId w:val="1"/>
        </w:numPr>
        <w:jc w:val="both"/>
        <w:rPr>
          <w:rFonts w:ascii="Gill Sans MT" w:hAnsi="Gill Sans MT"/>
        </w:rPr>
      </w:pPr>
      <w:r w:rsidRPr="002B2C6A">
        <w:rPr>
          <w:rFonts w:ascii="Gill Sans MT" w:hAnsi="Gill Sans MT" w:cs="Courier New"/>
          <w:color w:val="812C7A"/>
        </w:rPr>
        <w:t>Packaging Waste conformity (Heavy metals)</w:t>
      </w:r>
    </w:p>
    <w:p w:rsidR="00D14F3B" w:rsidRPr="002B2C6A" w:rsidRDefault="00D14F3B" w:rsidP="002B2C6A">
      <w:pPr>
        <w:pStyle w:val="Default"/>
        <w:jc w:val="both"/>
        <w:rPr>
          <w:rFonts w:ascii="Gill Sans MT" w:hAnsi="Gill Sans MT"/>
        </w:rPr>
      </w:pPr>
    </w:p>
    <w:bookmarkEnd w:id="0"/>
    <w:p w:rsidR="00D14F3B" w:rsidRDefault="00D14F3B" w:rsidP="00D14F3B">
      <w:pPr>
        <w:pStyle w:val="Default"/>
        <w:rPr>
          <w:color w:val="812C7A"/>
          <w:sz w:val="22"/>
          <w:szCs w:val="22"/>
        </w:rPr>
      </w:pPr>
    </w:p>
    <w:p w:rsidR="00D14F3B" w:rsidRDefault="00D14F3B" w:rsidP="00D14F3B">
      <w:pPr>
        <w:pStyle w:val="Default"/>
        <w:rPr>
          <w:sz w:val="28"/>
          <w:szCs w:val="28"/>
        </w:rPr>
      </w:pPr>
      <w:r>
        <w:rPr>
          <w:b/>
          <w:bCs/>
          <w:color w:val="812C7A"/>
          <w:sz w:val="28"/>
          <w:szCs w:val="28"/>
        </w:rPr>
        <w:t xml:space="preserve">Global Regulatory Capabilities </w:t>
      </w:r>
    </w:p>
    <w:p w:rsidR="00D14F3B" w:rsidRDefault="00D14F3B" w:rsidP="00D14F3B">
      <w:pPr>
        <w:pStyle w:val="Default"/>
        <w:numPr>
          <w:ilvl w:val="1"/>
          <w:numId w:val="2"/>
        </w:numPr>
        <w:spacing w:after="46"/>
        <w:rPr>
          <w:sz w:val="22"/>
          <w:szCs w:val="22"/>
        </w:rPr>
      </w:pPr>
      <w:r>
        <w:rPr>
          <w:color w:val="812C7A"/>
          <w:sz w:val="22"/>
          <w:szCs w:val="22"/>
        </w:rPr>
        <w:t>• _</w:t>
      </w:r>
      <w:r>
        <w:rPr>
          <w:sz w:val="22"/>
          <w:szCs w:val="22"/>
        </w:rPr>
        <w:t xml:space="preserve">Global Food Contact Compliance based on the four major continental legislations. </w:t>
      </w:r>
      <w:r>
        <w:rPr>
          <w:rFonts w:ascii="Courier New" w:hAnsi="Courier New" w:cs="Courier New"/>
          <w:color w:val="812C7A"/>
          <w:sz w:val="22"/>
          <w:szCs w:val="22"/>
        </w:rPr>
        <w:t xml:space="preserve">o </w:t>
      </w:r>
      <w:r>
        <w:rPr>
          <w:sz w:val="22"/>
          <w:szCs w:val="22"/>
        </w:rPr>
        <w:t xml:space="preserve">FDA, EU, MERCOSUR, CHINA </w:t>
      </w:r>
    </w:p>
    <w:p w:rsidR="00D14F3B" w:rsidRDefault="00D14F3B" w:rsidP="00D14F3B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rFonts w:ascii="Courier New" w:hAnsi="Courier New" w:cs="Courier New"/>
          <w:color w:val="812C7A"/>
          <w:sz w:val="22"/>
          <w:szCs w:val="22"/>
        </w:rPr>
        <w:t xml:space="preserve">o </w:t>
      </w:r>
      <w:r>
        <w:rPr>
          <w:sz w:val="22"/>
          <w:szCs w:val="22"/>
        </w:rPr>
        <w:t xml:space="preserve">Other Legislations available upon request </w:t>
      </w:r>
    </w:p>
    <w:p w:rsidR="00D14F3B" w:rsidRDefault="00D14F3B" w:rsidP="00D14F3B">
      <w:pPr>
        <w:pStyle w:val="Default"/>
        <w:numPr>
          <w:ilvl w:val="1"/>
          <w:numId w:val="2"/>
        </w:numPr>
        <w:rPr>
          <w:sz w:val="22"/>
          <w:szCs w:val="22"/>
        </w:rPr>
      </w:pPr>
    </w:p>
    <w:p w:rsidR="00D14F3B" w:rsidRDefault="00D14F3B" w:rsidP="00D14F3B">
      <w:pPr>
        <w:pStyle w:val="Default"/>
        <w:numPr>
          <w:ilvl w:val="1"/>
          <w:numId w:val="2"/>
        </w:numPr>
        <w:rPr>
          <w:color w:val="812C7A"/>
          <w:sz w:val="22"/>
          <w:szCs w:val="22"/>
        </w:rPr>
      </w:pPr>
      <w:r>
        <w:rPr>
          <w:color w:val="812C7A"/>
          <w:sz w:val="22"/>
          <w:szCs w:val="22"/>
        </w:rPr>
        <w:t>• _</w:t>
      </w:r>
      <w:proofErr w:type="spellStart"/>
      <w:r>
        <w:rPr>
          <w:color w:val="812C7A"/>
          <w:sz w:val="22"/>
          <w:szCs w:val="22"/>
        </w:rPr>
        <w:t>S_p_e_c_i_f_i_c</w:t>
      </w:r>
      <w:proofErr w:type="spellEnd"/>
      <w:r>
        <w:rPr>
          <w:color w:val="812C7A"/>
          <w:sz w:val="22"/>
          <w:szCs w:val="22"/>
        </w:rPr>
        <w:t>_ _</w:t>
      </w:r>
      <w:proofErr w:type="spellStart"/>
      <w:r>
        <w:rPr>
          <w:color w:val="812C7A"/>
          <w:sz w:val="22"/>
          <w:szCs w:val="22"/>
        </w:rPr>
        <w:t>s_e_g_m_e_n_t_s</w:t>
      </w:r>
      <w:proofErr w:type="spellEnd"/>
      <w:r>
        <w:rPr>
          <w:color w:val="812C7A"/>
          <w:sz w:val="22"/>
          <w:szCs w:val="22"/>
        </w:rPr>
        <w:t>_ _</w:t>
      </w:r>
      <w:proofErr w:type="spellStart"/>
      <w:r>
        <w:rPr>
          <w:color w:val="812C7A"/>
          <w:sz w:val="22"/>
          <w:szCs w:val="22"/>
        </w:rPr>
        <w:t>r_e_q_u_i_r_e_m_e_n_t_s</w:t>
      </w:r>
      <w:proofErr w:type="spellEnd"/>
      <w:r>
        <w:rPr>
          <w:color w:val="812C7A"/>
          <w:sz w:val="22"/>
          <w:szCs w:val="22"/>
        </w:rPr>
        <w:t>_ _(_</w:t>
      </w:r>
      <w:proofErr w:type="spellStart"/>
      <w:r>
        <w:rPr>
          <w:color w:val="812C7A"/>
          <w:sz w:val="22"/>
          <w:szCs w:val="22"/>
        </w:rPr>
        <w:t>c_o_s_m_e_t_i_c_s</w:t>
      </w:r>
      <w:proofErr w:type="spellEnd"/>
      <w:r>
        <w:rPr>
          <w:color w:val="812C7A"/>
          <w:sz w:val="22"/>
          <w:szCs w:val="22"/>
        </w:rPr>
        <w:t>_,_ _</w:t>
      </w:r>
      <w:proofErr w:type="spellStart"/>
      <w:r>
        <w:rPr>
          <w:color w:val="812C7A"/>
          <w:sz w:val="22"/>
          <w:szCs w:val="22"/>
        </w:rPr>
        <w:t>a_u_t_o_m_o_t_i_v_e</w:t>
      </w:r>
      <w:proofErr w:type="spellEnd"/>
      <w:r>
        <w:rPr>
          <w:color w:val="812C7A"/>
          <w:sz w:val="22"/>
          <w:szCs w:val="22"/>
        </w:rPr>
        <w:t>_,_ _</w:t>
      </w:r>
      <w:proofErr w:type="spellStart"/>
      <w:r>
        <w:rPr>
          <w:color w:val="812C7A"/>
          <w:sz w:val="22"/>
          <w:szCs w:val="22"/>
        </w:rPr>
        <w:t>e_l_e_c_t_r_o_n_i_c_s</w:t>
      </w:r>
      <w:proofErr w:type="spellEnd"/>
      <w:r>
        <w:rPr>
          <w:color w:val="812C7A"/>
          <w:sz w:val="22"/>
          <w:szCs w:val="22"/>
        </w:rPr>
        <w:t>_…)_ _</w:t>
      </w:r>
    </w:p>
    <w:p w:rsidR="00D14F3B" w:rsidRDefault="00D14F3B" w:rsidP="00D14F3B">
      <w:pPr>
        <w:pStyle w:val="Default"/>
        <w:numPr>
          <w:ilvl w:val="1"/>
          <w:numId w:val="2"/>
        </w:numPr>
        <w:rPr>
          <w:color w:val="812C7A"/>
          <w:sz w:val="22"/>
          <w:szCs w:val="22"/>
        </w:rPr>
      </w:pPr>
      <w:r>
        <w:rPr>
          <w:color w:val="812C7A"/>
          <w:sz w:val="22"/>
          <w:szCs w:val="22"/>
        </w:rPr>
        <w:t>• _R_E_A_C_H_ _</w:t>
      </w:r>
      <w:proofErr w:type="spellStart"/>
      <w:r>
        <w:rPr>
          <w:color w:val="812C7A"/>
          <w:sz w:val="22"/>
          <w:szCs w:val="22"/>
        </w:rPr>
        <w:t>s_u_p_p_o_r_t</w:t>
      </w:r>
      <w:proofErr w:type="spellEnd"/>
      <w:r>
        <w:rPr>
          <w:color w:val="812C7A"/>
          <w:sz w:val="22"/>
          <w:szCs w:val="22"/>
        </w:rPr>
        <w:t>_ _</w:t>
      </w:r>
    </w:p>
    <w:p w:rsidR="00D14F3B" w:rsidRDefault="00D14F3B" w:rsidP="00D14F3B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color w:val="812C7A"/>
          <w:sz w:val="22"/>
          <w:szCs w:val="22"/>
        </w:rPr>
        <w:t>• _</w:t>
      </w:r>
      <w:r>
        <w:rPr>
          <w:sz w:val="22"/>
          <w:szCs w:val="22"/>
        </w:rPr>
        <w:t xml:space="preserve">Agency Submissions </w:t>
      </w:r>
    </w:p>
    <w:p w:rsidR="00D14F3B" w:rsidRDefault="00D14F3B" w:rsidP="00D14F3B">
      <w:pPr>
        <w:pStyle w:val="Default"/>
        <w:numPr>
          <w:ilvl w:val="1"/>
          <w:numId w:val="2"/>
        </w:numPr>
        <w:rPr>
          <w:color w:val="812C7A"/>
          <w:sz w:val="22"/>
          <w:szCs w:val="22"/>
        </w:rPr>
      </w:pPr>
      <w:r>
        <w:rPr>
          <w:color w:val="812C7A"/>
          <w:sz w:val="22"/>
          <w:szCs w:val="22"/>
        </w:rPr>
        <w:t>• _</w:t>
      </w:r>
      <w:proofErr w:type="spellStart"/>
      <w:r>
        <w:rPr>
          <w:color w:val="812C7A"/>
          <w:sz w:val="22"/>
          <w:szCs w:val="22"/>
        </w:rPr>
        <w:t>C_h_e_m_i_c_a_l_s</w:t>
      </w:r>
      <w:proofErr w:type="spellEnd"/>
      <w:r>
        <w:rPr>
          <w:color w:val="812C7A"/>
          <w:sz w:val="22"/>
          <w:szCs w:val="22"/>
        </w:rPr>
        <w:t>_ _</w:t>
      </w:r>
      <w:proofErr w:type="spellStart"/>
      <w:r>
        <w:rPr>
          <w:color w:val="812C7A"/>
          <w:sz w:val="22"/>
          <w:szCs w:val="22"/>
        </w:rPr>
        <w:t>o_f</w:t>
      </w:r>
      <w:proofErr w:type="spellEnd"/>
      <w:r>
        <w:rPr>
          <w:color w:val="812C7A"/>
          <w:sz w:val="22"/>
          <w:szCs w:val="22"/>
        </w:rPr>
        <w:t>_ _</w:t>
      </w:r>
      <w:proofErr w:type="spellStart"/>
      <w:r>
        <w:rPr>
          <w:color w:val="812C7A"/>
          <w:sz w:val="22"/>
          <w:szCs w:val="22"/>
        </w:rPr>
        <w:t>c_o_n_c_e_r_n</w:t>
      </w:r>
      <w:proofErr w:type="spellEnd"/>
      <w:r>
        <w:rPr>
          <w:color w:val="812C7A"/>
          <w:sz w:val="22"/>
          <w:szCs w:val="22"/>
        </w:rPr>
        <w:t>_ _</w:t>
      </w:r>
      <w:proofErr w:type="spellStart"/>
      <w:r>
        <w:rPr>
          <w:color w:val="812C7A"/>
          <w:sz w:val="22"/>
          <w:szCs w:val="22"/>
        </w:rPr>
        <w:t>s_t_a_t_e_m_e_n_t_s</w:t>
      </w:r>
      <w:proofErr w:type="spellEnd"/>
      <w:r>
        <w:rPr>
          <w:color w:val="812C7A"/>
          <w:sz w:val="22"/>
          <w:szCs w:val="22"/>
        </w:rPr>
        <w:t>_ _</w:t>
      </w:r>
    </w:p>
    <w:p w:rsidR="00D14F3B" w:rsidRDefault="00D14F3B" w:rsidP="00D14F3B">
      <w:pPr>
        <w:pStyle w:val="Default"/>
        <w:numPr>
          <w:ilvl w:val="1"/>
          <w:numId w:val="2"/>
        </w:numPr>
        <w:rPr>
          <w:color w:val="812C7A"/>
          <w:sz w:val="22"/>
          <w:szCs w:val="22"/>
        </w:rPr>
      </w:pPr>
      <w:r>
        <w:rPr>
          <w:color w:val="812C7A"/>
          <w:sz w:val="22"/>
          <w:szCs w:val="22"/>
        </w:rPr>
        <w:t>• _</w:t>
      </w:r>
      <w:proofErr w:type="spellStart"/>
      <w:r>
        <w:rPr>
          <w:color w:val="812C7A"/>
          <w:sz w:val="22"/>
          <w:szCs w:val="22"/>
        </w:rPr>
        <w:t>E_t_h_i_c_a_l</w:t>
      </w:r>
      <w:proofErr w:type="spellEnd"/>
      <w:r>
        <w:rPr>
          <w:color w:val="812C7A"/>
          <w:sz w:val="22"/>
          <w:szCs w:val="22"/>
        </w:rPr>
        <w:t>_ _</w:t>
      </w:r>
      <w:proofErr w:type="spellStart"/>
      <w:r>
        <w:rPr>
          <w:color w:val="812C7A"/>
          <w:sz w:val="22"/>
          <w:szCs w:val="22"/>
        </w:rPr>
        <w:t>c_o_m_m_u_n_i_c_a_t_i_o_n_s</w:t>
      </w:r>
      <w:proofErr w:type="spellEnd"/>
      <w:r>
        <w:rPr>
          <w:color w:val="812C7A"/>
          <w:sz w:val="22"/>
          <w:szCs w:val="22"/>
        </w:rPr>
        <w:t>_ _</w:t>
      </w:r>
      <w:proofErr w:type="spellStart"/>
      <w:r>
        <w:rPr>
          <w:color w:val="812C7A"/>
          <w:sz w:val="22"/>
          <w:szCs w:val="22"/>
        </w:rPr>
        <w:t>a_n_d</w:t>
      </w:r>
      <w:proofErr w:type="spellEnd"/>
      <w:r>
        <w:rPr>
          <w:color w:val="812C7A"/>
          <w:sz w:val="22"/>
          <w:szCs w:val="22"/>
        </w:rPr>
        <w:t>_ _</w:t>
      </w:r>
      <w:proofErr w:type="spellStart"/>
      <w:r>
        <w:rPr>
          <w:color w:val="812C7A"/>
          <w:sz w:val="22"/>
          <w:szCs w:val="22"/>
        </w:rPr>
        <w:t>c_o_m_p_l_i_a_n_c_e_s</w:t>
      </w:r>
      <w:proofErr w:type="spellEnd"/>
      <w:r>
        <w:rPr>
          <w:color w:val="812C7A"/>
          <w:sz w:val="22"/>
          <w:szCs w:val="22"/>
        </w:rPr>
        <w:t>_ _</w:t>
      </w:r>
    </w:p>
    <w:p w:rsidR="00D14F3B" w:rsidRDefault="00D14F3B" w:rsidP="00D14F3B">
      <w:pPr>
        <w:pStyle w:val="Default"/>
        <w:numPr>
          <w:ilvl w:val="1"/>
          <w:numId w:val="2"/>
        </w:numPr>
        <w:rPr>
          <w:color w:val="812C7A"/>
          <w:sz w:val="22"/>
          <w:szCs w:val="22"/>
        </w:rPr>
      </w:pPr>
      <w:r>
        <w:rPr>
          <w:color w:val="812C7A"/>
          <w:sz w:val="22"/>
          <w:szCs w:val="22"/>
        </w:rPr>
        <w:t>• _</w:t>
      </w:r>
      <w:proofErr w:type="spellStart"/>
      <w:r>
        <w:rPr>
          <w:color w:val="812C7A"/>
          <w:sz w:val="22"/>
          <w:szCs w:val="22"/>
        </w:rPr>
        <w:t>S_u_p_p_o_r_t</w:t>
      </w:r>
      <w:proofErr w:type="spellEnd"/>
      <w:r>
        <w:rPr>
          <w:color w:val="812C7A"/>
          <w:sz w:val="22"/>
          <w:szCs w:val="22"/>
        </w:rPr>
        <w:t>_ _</w:t>
      </w:r>
      <w:proofErr w:type="spellStart"/>
      <w:r>
        <w:rPr>
          <w:color w:val="812C7A"/>
          <w:sz w:val="22"/>
          <w:szCs w:val="22"/>
        </w:rPr>
        <w:t>i_n</w:t>
      </w:r>
      <w:proofErr w:type="spellEnd"/>
      <w:r>
        <w:rPr>
          <w:color w:val="812C7A"/>
          <w:sz w:val="22"/>
          <w:szCs w:val="22"/>
        </w:rPr>
        <w:t>_ _</w:t>
      </w:r>
      <w:proofErr w:type="spellStart"/>
      <w:r>
        <w:rPr>
          <w:color w:val="812C7A"/>
          <w:sz w:val="22"/>
          <w:szCs w:val="22"/>
        </w:rPr>
        <w:t>R_i_s_k</w:t>
      </w:r>
      <w:proofErr w:type="spellEnd"/>
      <w:r>
        <w:rPr>
          <w:color w:val="812C7A"/>
          <w:sz w:val="22"/>
          <w:szCs w:val="22"/>
        </w:rPr>
        <w:t>_ _</w:t>
      </w:r>
      <w:proofErr w:type="spellStart"/>
      <w:r>
        <w:rPr>
          <w:color w:val="812C7A"/>
          <w:sz w:val="22"/>
          <w:szCs w:val="22"/>
        </w:rPr>
        <w:t>A_s_s_e_s_s_m_e_n_t</w:t>
      </w:r>
      <w:proofErr w:type="spellEnd"/>
      <w:r>
        <w:rPr>
          <w:color w:val="812C7A"/>
          <w:sz w:val="22"/>
          <w:szCs w:val="22"/>
        </w:rPr>
        <w:t>_ _</w:t>
      </w:r>
    </w:p>
    <w:p w:rsidR="003A2F68" w:rsidRDefault="003A2F68"/>
    <w:sectPr w:rsidR="003A2F68" w:rsidSect="002B2C6A">
      <w:pgSz w:w="12240" w:h="16340"/>
      <w:pgMar w:top="1158" w:right="1530" w:bottom="668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Light">
    <w:altName w:val="Arial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53EE"/>
    <w:multiLevelType w:val="hybridMultilevel"/>
    <w:tmpl w:val="D30B1836"/>
    <w:lvl w:ilvl="0" w:tplc="FFFFFFFF">
      <w:start w:val="1"/>
      <w:numFmt w:val="bullet"/>
      <w:lvlText w:val="•"/>
      <w:lvlJc w:val="left"/>
    </w:lvl>
    <w:lvl w:ilvl="1" w:tplc="ED103698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D48F70C"/>
    <w:multiLevelType w:val="hybridMultilevel"/>
    <w:tmpl w:val="0FF81D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3B"/>
    <w:rsid w:val="00181297"/>
    <w:rsid w:val="002B2C6A"/>
    <w:rsid w:val="00314D78"/>
    <w:rsid w:val="003A2F68"/>
    <w:rsid w:val="0067330F"/>
    <w:rsid w:val="007B4500"/>
    <w:rsid w:val="009F56B4"/>
    <w:rsid w:val="00D1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624A67"/>
  <w14:defaultImageDpi w14:val="32767"/>
  <w15:chartTrackingRefBased/>
  <w15:docId w15:val="{66820A8B-B8AB-694F-944F-4657AAB6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Gill Sans Light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4F3B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Altstiel</dc:creator>
  <cp:keywords/>
  <dc:description/>
  <cp:lastModifiedBy>Tom Altstiel</cp:lastModifiedBy>
  <cp:revision>2</cp:revision>
  <dcterms:created xsi:type="dcterms:W3CDTF">2018-05-03T20:34:00Z</dcterms:created>
  <dcterms:modified xsi:type="dcterms:W3CDTF">2018-05-03T20:40:00Z</dcterms:modified>
</cp:coreProperties>
</file>